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08" w:rsidRPr="00473FC7" w:rsidRDefault="00473FC7" w:rsidP="00473FC7">
      <w:pPr>
        <w:spacing w:after="0"/>
        <w:jc w:val="center"/>
        <w:rPr>
          <w:rFonts w:ascii="Viner Hand ITC" w:hAnsi="Viner Hand ITC"/>
          <w:color w:val="00CC00"/>
          <w:sz w:val="144"/>
          <w:szCs w:val="144"/>
        </w:rPr>
      </w:pPr>
      <w:proofErr w:type="gramStart"/>
      <w:r w:rsidRPr="00473FC7">
        <w:rPr>
          <w:rFonts w:ascii="Viner Hand ITC" w:hAnsi="Viner Hand ITC"/>
          <w:color w:val="00CC00"/>
          <w:sz w:val="144"/>
          <w:szCs w:val="144"/>
        </w:rPr>
        <w:t>E.D.G.E.</w:t>
      </w:r>
      <w:proofErr w:type="gramEnd"/>
    </w:p>
    <w:p w:rsidR="00473FC7" w:rsidRPr="00473FC7" w:rsidRDefault="00473FC7" w:rsidP="00473FC7">
      <w:pPr>
        <w:spacing w:after="0"/>
        <w:jc w:val="center"/>
        <w:rPr>
          <w:rFonts w:ascii="Viner Hand ITC" w:hAnsi="Viner Hand ITC"/>
          <w:color w:val="00CC00"/>
          <w:sz w:val="40"/>
          <w:szCs w:val="40"/>
        </w:rPr>
      </w:pPr>
      <w:r w:rsidRPr="00473FC7">
        <w:rPr>
          <w:rFonts w:ascii="Viner Hand ITC" w:hAnsi="Viner Hand ITC"/>
          <w:color w:val="00CC00"/>
          <w:sz w:val="40"/>
          <w:szCs w:val="40"/>
        </w:rPr>
        <w:t>Environmental Duty for a Greener Environment</w:t>
      </w:r>
    </w:p>
    <w:p w:rsidR="00473FC7" w:rsidRDefault="00473FC7">
      <w:pPr>
        <w:rPr>
          <w:rFonts w:ascii="Viner Hand ITC" w:hAnsi="Viner Hand ITC"/>
          <w:color w:val="00CC00"/>
        </w:rPr>
      </w:pPr>
      <w:r>
        <w:rPr>
          <w:rFonts w:ascii="Arial" w:hAnsi="Arial" w:cs="Arial"/>
          <w:noProof/>
          <w:color w:val="009900"/>
        </w:rPr>
        <w:drawing>
          <wp:anchor distT="0" distB="0" distL="114300" distR="114300" simplePos="0" relativeHeight="251658240" behindDoc="1" locked="0" layoutInCell="1" allowOverlap="1" wp14:anchorId="67920B25" wp14:editId="68C283F9">
            <wp:simplePos x="0" y="0"/>
            <wp:positionH relativeFrom="column">
              <wp:posOffset>482176</wp:posOffset>
            </wp:positionH>
            <wp:positionV relativeFrom="paragraph">
              <wp:posOffset>59545</wp:posOffset>
            </wp:positionV>
            <wp:extent cx="8396318" cy="3437467"/>
            <wp:effectExtent l="0" t="0" r="5080" b="0"/>
            <wp:wrapNone/>
            <wp:docPr id="1" name="Picture 1" descr="How It Works 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It Works 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6318" cy="343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FC7" w:rsidRDefault="00473FC7">
      <w:pPr>
        <w:rPr>
          <w:rFonts w:ascii="Viner Hand ITC" w:hAnsi="Viner Hand ITC"/>
          <w:color w:val="00CC00"/>
        </w:rPr>
      </w:pPr>
    </w:p>
    <w:p w:rsidR="00473FC7" w:rsidRDefault="00473FC7">
      <w:pPr>
        <w:rPr>
          <w:rFonts w:ascii="Viner Hand ITC" w:hAnsi="Viner Hand ITC"/>
          <w:color w:val="00CC00"/>
        </w:rPr>
      </w:pPr>
    </w:p>
    <w:p w:rsidR="00473FC7" w:rsidRDefault="00473FC7">
      <w:pPr>
        <w:rPr>
          <w:rFonts w:ascii="Viner Hand ITC" w:hAnsi="Viner Hand ITC"/>
          <w:color w:val="00CC00"/>
        </w:rPr>
      </w:pPr>
    </w:p>
    <w:p w:rsidR="00473FC7" w:rsidRDefault="00473FC7">
      <w:pPr>
        <w:rPr>
          <w:rFonts w:ascii="Viner Hand ITC" w:hAnsi="Viner Hand ITC"/>
          <w:color w:val="00CC00"/>
        </w:rPr>
      </w:pPr>
    </w:p>
    <w:p w:rsidR="00473FC7" w:rsidRDefault="00473FC7">
      <w:pPr>
        <w:rPr>
          <w:rFonts w:ascii="Viner Hand ITC" w:hAnsi="Viner Hand ITC"/>
          <w:color w:val="00CC00"/>
        </w:rPr>
      </w:pPr>
    </w:p>
    <w:p w:rsidR="00473FC7" w:rsidRDefault="00473FC7">
      <w:pPr>
        <w:rPr>
          <w:rFonts w:ascii="Viner Hand ITC" w:hAnsi="Viner Hand ITC"/>
          <w:color w:val="00CC00"/>
        </w:rPr>
      </w:pPr>
    </w:p>
    <w:p w:rsidR="00473FC7" w:rsidRDefault="00473FC7" w:rsidP="00473FC7">
      <w:pPr>
        <w:jc w:val="center"/>
        <w:rPr>
          <w:rFonts w:ascii="Calligraph421 BT" w:hAnsi="Calligraph421 BT"/>
          <w:color w:val="009900"/>
        </w:rPr>
      </w:pPr>
    </w:p>
    <w:p w:rsidR="00473FC7" w:rsidRPr="006B1C3A" w:rsidRDefault="00473FC7" w:rsidP="00473FC7">
      <w:pPr>
        <w:jc w:val="center"/>
        <w:rPr>
          <w:rFonts w:ascii="Calligraph421 BT" w:hAnsi="Calligraph421 BT"/>
          <w:color w:val="009900"/>
          <w:sz w:val="16"/>
          <w:szCs w:val="16"/>
        </w:rPr>
      </w:pPr>
    </w:p>
    <w:p w:rsidR="00473FC7" w:rsidRPr="006B1C3A" w:rsidRDefault="00473FC7" w:rsidP="00473FC7">
      <w:pPr>
        <w:jc w:val="center"/>
        <w:rPr>
          <w:rFonts w:ascii="Calligraph421 BT" w:hAnsi="Calligraph421 BT"/>
          <w:color w:val="009900"/>
          <w:sz w:val="16"/>
          <w:szCs w:val="16"/>
        </w:rPr>
      </w:pPr>
    </w:p>
    <w:p w:rsidR="00473FC7" w:rsidRPr="006B1C3A" w:rsidRDefault="00473FC7" w:rsidP="00473FC7">
      <w:pPr>
        <w:jc w:val="center"/>
        <w:rPr>
          <w:rFonts w:ascii="Calligraph421 BT" w:hAnsi="Calligraph421 BT"/>
          <w:color w:val="009900"/>
          <w:sz w:val="40"/>
          <w:szCs w:val="40"/>
        </w:rPr>
      </w:pPr>
      <w:r w:rsidRPr="006B1C3A">
        <w:rPr>
          <w:rFonts w:ascii="Calligraph421 BT" w:hAnsi="Calligraph421 BT"/>
          <w:color w:val="009900"/>
          <w:sz w:val="40"/>
          <w:szCs w:val="40"/>
        </w:rPr>
        <w:t xml:space="preserve">Is working with </w:t>
      </w:r>
      <w:proofErr w:type="spellStart"/>
      <w:r w:rsidRPr="006B1C3A">
        <w:rPr>
          <w:rFonts w:ascii="Calligraph421 BT" w:hAnsi="Calligraph421 BT"/>
          <w:color w:val="009900"/>
          <w:sz w:val="40"/>
          <w:szCs w:val="40"/>
        </w:rPr>
        <w:t>Terracyle</w:t>
      </w:r>
      <w:proofErr w:type="spellEnd"/>
      <w:r w:rsidRPr="006B1C3A">
        <w:rPr>
          <w:rFonts w:ascii="Calligraph421 BT" w:hAnsi="Calligraph421 BT"/>
          <w:color w:val="009900"/>
          <w:sz w:val="40"/>
          <w:szCs w:val="40"/>
        </w:rPr>
        <w:t xml:space="preserve"> to </w:t>
      </w:r>
    </w:p>
    <w:p w:rsidR="00473FC7" w:rsidRPr="00473FC7" w:rsidRDefault="00473FC7" w:rsidP="00473FC7">
      <w:pPr>
        <w:pStyle w:val="ListParagraph"/>
        <w:numPr>
          <w:ilvl w:val="0"/>
          <w:numId w:val="1"/>
        </w:numPr>
        <w:ind w:left="4500" w:firstLine="0"/>
        <w:rPr>
          <w:rFonts w:ascii="Calligraph421 BT" w:hAnsi="Calligraph421 BT"/>
          <w:color w:val="009900"/>
        </w:rPr>
      </w:pPr>
      <w:r w:rsidRPr="00473FC7">
        <w:rPr>
          <w:rFonts w:ascii="Calligraph421 BT" w:hAnsi="Calligraph421 BT"/>
          <w:color w:val="009900"/>
        </w:rPr>
        <w:t xml:space="preserve">reduce landfill waste, </w:t>
      </w:r>
    </w:p>
    <w:p w:rsidR="00473FC7" w:rsidRPr="00473FC7" w:rsidRDefault="00473FC7" w:rsidP="00473FC7">
      <w:pPr>
        <w:pStyle w:val="ListParagraph"/>
        <w:numPr>
          <w:ilvl w:val="0"/>
          <w:numId w:val="1"/>
        </w:numPr>
        <w:ind w:left="4500" w:firstLine="0"/>
        <w:rPr>
          <w:rFonts w:ascii="Calligraph421 BT" w:hAnsi="Calligraph421 BT"/>
          <w:color w:val="009900"/>
        </w:rPr>
      </w:pPr>
      <w:r w:rsidRPr="00473FC7">
        <w:rPr>
          <w:rFonts w:ascii="Calligraph421 BT" w:hAnsi="Calligraph421 BT"/>
          <w:color w:val="009900"/>
        </w:rPr>
        <w:t>repurpose waste into new products, and</w:t>
      </w:r>
    </w:p>
    <w:p w:rsidR="00473FC7" w:rsidRPr="00473FC7" w:rsidRDefault="00473FC7" w:rsidP="00473FC7">
      <w:pPr>
        <w:pStyle w:val="ListParagraph"/>
        <w:numPr>
          <w:ilvl w:val="0"/>
          <w:numId w:val="1"/>
        </w:numPr>
        <w:ind w:left="4500" w:firstLine="0"/>
        <w:rPr>
          <w:rFonts w:ascii="Calligraph421 BT" w:hAnsi="Calligraph421 BT"/>
          <w:color w:val="009900"/>
        </w:rPr>
      </w:pPr>
      <w:proofErr w:type="gramStart"/>
      <w:r w:rsidRPr="00473FC7">
        <w:rPr>
          <w:rFonts w:ascii="Calligraph421 BT" w:hAnsi="Calligraph421 BT"/>
          <w:color w:val="009900"/>
        </w:rPr>
        <w:t>raise</w:t>
      </w:r>
      <w:proofErr w:type="gramEnd"/>
      <w:r w:rsidRPr="00473FC7">
        <w:rPr>
          <w:rFonts w:ascii="Calligraph421 BT" w:hAnsi="Calligraph421 BT"/>
          <w:color w:val="009900"/>
        </w:rPr>
        <w:t xml:space="preserve"> money for </w:t>
      </w:r>
      <w:proofErr w:type="spellStart"/>
      <w:r w:rsidRPr="00473FC7">
        <w:rPr>
          <w:rFonts w:ascii="Calligraph421 BT" w:hAnsi="Calligraph421 BT"/>
          <w:color w:val="009900"/>
        </w:rPr>
        <w:t>Bluevale’s</w:t>
      </w:r>
      <w:proofErr w:type="spellEnd"/>
      <w:r w:rsidRPr="00473FC7">
        <w:rPr>
          <w:rFonts w:ascii="Calligraph421 BT" w:hAnsi="Calligraph421 BT"/>
          <w:color w:val="009900"/>
        </w:rPr>
        <w:t xml:space="preserve"> environmental initiatives.</w:t>
      </w:r>
      <w:bookmarkStart w:id="0" w:name="_GoBack"/>
      <w:bookmarkEnd w:id="0"/>
    </w:p>
    <w:sectPr w:rsidR="00473FC7" w:rsidRPr="00473FC7" w:rsidSect="00473FC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A6BD4"/>
    <w:multiLevelType w:val="hybridMultilevel"/>
    <w:tmpl w:val="FD542DBE"/>
    <w:lvl w:ilvl="0" w:tplc="2CB47EE4">
      <w:start w:val="1"/>
      <w:numFmt w:val="bullet"/>
      <w:lvlText w:val="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C7"/>
    <w:rsid w:val="00473FC7"/>
    <w:rsid w:val="006B1C3A"/>
    <w:rsid w:val="007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F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3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F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terracycle.ca/brigad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62F16-5668-4C85-860F-2B4C5F99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vmiller</dc:creator>
  <cp:keywords/>
  <dc:description/>
  <cp:lastModifiedBy>vmiller</cp:lastModifiedBy>
  <cp:revision>2</cp:revision>
  <dcterms:created xsi:type="dcterms:W3CDTF">2012-10-03T02:35:00Z</dcterms:created>
  <dcterms:modified xsi:type="dcterms:W3CDTF">2012-10-03T02:47:00Z</dcterms:modified>
</cp:coreProperties>
</file>